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DA62" w14:textId="77777777" w:rsidR="00C656FF" w:rsidRDefault="00C656FF" w:rsidP="00FD0A63">
      <w:pPr>
        <w:spacing w:after="0" w:line="240" w:lineRule="auto"/>
      </w:pPr>
      <w:r>
        <w:separator/>
      </w:r>
    </w:p>
  </w:endnote>
  <w:endnote w:type="continuationSeparator" w:id="0">
    <w:p w14:paraId="7E1F8859" w14:textId="77777777" w:rsidR="00C656FF" w:rsidRDefault="00C656FF"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ACDF" w14:textId="77777777" w:rsidR="00C656FF" w:rsidRDefault="00C656FF" w:rsidP="00FD0A63">
      <w:pPr>
        <w:spacing w:after="0" w:line="240" w:lineRule="auto"/>
      </w:pPr>
      <w:r>
        <w:separator/>
      </w:r>
    </w:p>
  </w:footnote>
  <w:footnote w:type="continuationSeparator" w:id="0">
    <w:p w14:paraId="3F53A05C" w14:textId="77777777" w:rsidR="00C656FF" w:rsidRDefault="00C656FF"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15EBC79D" w:rsidR="00FD0A63" w:rsidRPr="00023B65" w:rsidRDefault="00A210D8" w:rsidP="00CA5C32">
    <w:pPr>
      <w:pStyle w:val="03page2header"/>
      <w:pBdr>
        <w:bottom w:val="single" w:sz="4" w:space="1" w:color="auto"/>
      </w:pBdr>
      <w:spacing w:after="360" w:line="360" w:lineRule="auto"/>
    </w:pPr>
    <w:r w:rsidRPr="00A210D8">
      <w:rPr>
        <w:rFonts w:eastAsiaTheme="minorEastAsia"/>
        <w:lang w:eastAsia="zh-CN"/>
      </w:rPr>
      <w:t>Cardiovasc. Sci.</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sidR="00773F46">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0AEA2249" w:rsidR="00FD0A63" w:rsidRPr="00023B65" w:rsidRDefault="00714237"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714237">
      <w:rPr>
        <w:rFonts w:eastAsiaTheme="minorEastAsia"/>
        <w:noProof/>
        <w:sz w:val="32"/>
        <w:szCs w:val="32"/>
        <w:lang w:eastAsia="zh-CN"/>
      </w:rPr>
      <w:drawing>
        <wp:anchor distT="0" distB="0" distL="114300" distR="114300" simplePos="0" relativeHeight="251668480" behindDoc="0" locked="0" layoutInCell="1" allowOverlap="1" wp14:anchorId="30B7C447" wp14:editId="0EEFADBE">
          <wp:simplePos x="0" y="0"/>
          <wp:positionH relativeFrom="column">
            <wp:posOffset>8890</wp:posOffset>
          </wp:positionH>
          <wp:positionV relativeFrom="paragraph">
            <wp:posOffset>-263420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5BED"/>
    <w:rsid w:val="002F7D4C"/>
    <w:rsid w:val="00300A3F"/>
    <w:rsid w:val="00320680"/>
    <w:rsid w:val="0032681C"/>
    <w:rsid w:val="00331229"/>
    <w:rsid w:val="00331782"/>
    <w:rsid w:val="0033406C"/>
    <w:rsid w:val="00335B84"/>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945E3"/>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7415D"/>
    <w:rsid w:val="0067422D"/>
    <w:rsid w:val="00695F37"/>
    <w:rsid w:val="006E25DC"/>
    <w:rsid w:val="006E261C"/>
    <w:rsid w:val="006E3A77"/>
    <w:rsid w:val="006E4AE3"/>
    <w:rsid w:val="006E6E7F"/>
    <w:rsid w:val="00701FC9"/>
    <w:rsid w:val="00707410"/>
    <w:rsid w:val="00714237"/>
    <w:rsid w:val="007246E2"/>
    <w:rsid w:val="00752478"/>
    <w:rsid w:val="00754C1E"/>
    <w:rsid w:val="00773F46"/>
    <w:rsid w:val="00790FC9"/>
    <w:rsid w:val="007B02FC"/>
    <w:rsid w:val="007D1FEC"/>
    <w:rsid w:val="007E125A"/>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10D8"/>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56FF"/>
    <w:rsid w:val="00C67BBF"/>
    <w:rsid w:val="00C71A2C"/>
    <w:rsid w:val="00C85CA9"/>
    <w:rsid w:val="00C86FFB"/>
    <w:rsid w:val="00C92418"/>
    <w:rsid w:val="00CA5C32"/>
    <w:rsid w:val="00CA6999"/>
    <w:rsid w:val="00CB093E"/>
    <w:rsid w:val="00CB5079"/>
    <w:rsid w:val="00CB5ACD"/>
    <w:rsid w:val="00CB6F4C"/>
    <w:rsid w:val="00CE05EB"/>
    <w:rsid w:val="00CE2069"/>
    <w:rsid w:val="00D0071F"/>
    <w:rsid w:val="00D1620B"/>
    <w:rsid w:val="00D22DF8"/>
    <w:rsid w:val="00D25DED"/>
    <w:rsid w:val="00D4303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3712F"/>
    <w:rsid w:val="00F55CB4"/>
    <w:rsid w:val="00F70791"/>
    <w:rsid w:val="00F920B3"/>
    <w:rsid w:val="00F93904"/>
    <w:rsid w:val="00FA5C6F"/>
    <w:rsid w:val="00FC066D"/>
    <w:rsid w:val="00FD0A63"/>
    <w:rsid w:val="00FD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6</cp:revision>
  <cp:lastPrinted>2025-12-12T02:07:00Z</cp:lastPrinted>
  <dcterms:created xsi:type="dcterms:W3CDTF">2025-12-26T07:27:00Z</dcterms:created>
  <dcterms:modified xsi:type="dcterms:W3CDTF">2025-12-26T08:37:00Z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